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8" w:rsidRPr="00A9710F" w:rsidRDefault="005A7B29">
      <w:pPr>
        <w:rPr>
          <w:b/>
          <w:sz w:val="28"/>
          <w:szCs w:val="28"/>
        </w:rPr>
      </w:pPr>
      <w:r w:rsidRPr="00A9710F">
        <w:rPr>
          <w:b/>
          <w:sz w:val="28"/>
          <w:szCs w:val="28"/>
        </w:rPr>
        <w:t>INSTYTUT HISTORII UG</w:t>
      </w:r>
    </w:p>
    <w:p w:rsidR="005A7B29" w:rsidRDefault="005A7B29" w:rsidP="00A9710F">
      <w:pPr>
        <w:tabs>
          <w:tab w:val="left" w:pos="1545"/>
        </w:tabs>
        <w:rPr>
          <w:b/>
          <w:sz w:val="28"/>
          <w:szCs w:val="28"/>
        </w:rPr>
      </w:pPr>
      <w:r w:rsidRPr="00A9710F">
        <w:rPr>
          <w:b/>
          <w:sz w:val="28"/>
          <w:szCs w:val="28"/>
        </w:rPr>
        <w:t>WYKLADY MONOGRAFICZNE W SEMESTRZE LETNIM 2020/2021</w:t>
      </w:r>
    </w:p>
    <w:p w:rsidR="00A9710F" w:rsidRDefault="00A9710F" w:rsidP="00A9710F">
      <w:pPr>
        <w:tabs>
          <w:tab w:val="left" w:pos="1545"/>
        </w:tabs>
        <w:rPr>
          <w:b/>
          <w:sz w:val="28"/>
          <w:szCs w:val="28"/>
        </w:rPr>
      </w:pPr>
    </w:p>
    <w:p w:rsidR="00A9710F" w:rsidRPr="00A9710F" w:rsidRDefault="00A9710F" w:rsidP="00A971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9710F">
        <w:rPr>
          <w:rFonts w:ascii="Times New Roman" w:hAnsi="Times New Roman" w:cs="Times New Roman"/>
          <w:b/>
          <w:sz w:val="24"/>
          <w:szCs w:val="24"/>
        </w:rPr>
        <w:t>rof.</w:t>
      </w:r>
      <w:r>
        <w:rPr>
          <w:rFonts w:ascii="Times New Roman" w:hAnsi="Times New Roman" w:cs="Times New Roman"/>
          <w:b/>
          <w:sz w:val="24"/>
          <w:szCs w:val="24"/>
        </w:rPr>
        <w:t xml:space="preserve"> dr hab. </w:t>
      </w:r>
      <w:r w:rsidRPr="00A9710F">
        <w:rPr>
          <w:rFonts w:ascii="Times New Roman" w:hAnsi="Times New Roman" w:cs="Times New Roman"/>
          <w:b/>
          <w:sz w:val="24"/>
          <w:szCs w:val="24"/>
        </w:rPr>
        <w:t xml:space="preserve"> Zbigniew Opacki, </w:t>
      </w:r>
    </w:p>
    <w:p w:rsidR="00A9710F" w:rsidRPr="00A9710F" w:rsidRDefault="00A9710F" w:rsidP="00A9710F">
      <w:pPr>
        <w:pStyle w:val="Akapitzlist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9710F">
        <w:rPr>
          <w:rFonts w:ascii="Times New Roman" w:hAnsi="Times New Roman" w:cs="Times New Roman"/>
          <w:b/>
          <w:sz w:val="24"/>
          <w:szCs w:val="24"/>
        </w:rPr>
        <w:t>Humanistyka na Uniwersytecie Stefana Batorego w Wilnie. Proces kształtowania się środowiska, jego osiągnięcia i słabości funkcjonowania</w:t>
      </w:r>
      <w:r w:rsidRPr="00A9710F">
        <w:rPr>
          <w:rFonts w:ascii="Times New Roman" w:hAnsi="Times New Roman" w:cs="Times New Roman"/>
          <w:sz w:val="24"/>
          <w:szCs w:val="24"/>
        </w:rPr>
        <w:t>.</w:t>
      </w:r>
    </w:p>
    <w:p w:rsidR="00A9710F" w:rsidRDefault="00A9710F" w:rsidP="00A971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odzyskaniem przez Polskę niepodległości w 1918 r. instytucje rządowe państwa wraz z wileńskimi elitami intelektualnymi powołały Uniwersytet Stefana Batorego.  Jego żywot był krótkotrwały, od 28 sierpnia 1919 do 15 grudnia 1939 r., lecz osiągnięcia, szczególnie środowiska humanistycznego, weszły na trwałe do legendy i historii nauki polskiej. Przedmiotem wykładu będzie przedstawienie procesu kształtowania się zespołu naukowo-dydaktycznego Wydziału Humanistycznego USB, przybliżenia genealogii naukowej jego przedstawicieli, osiągnięć oraz barier rozwoju na tle środowisk humanistyki uniwersyteckiej II Rzeczypospolitej. Wykład oparty jest o badania własne zrealizowane w ostatnich latach zmaterializowanych w monografii pt. Wydział Humanistyczny Uniwersytetu Stefana Batorego w Wilnie. 1919-1939. Struktura, kadra, osiągnięcia naukowo-dydaktyczne, Gdańsk 1921 (złożone do druku w Wydawnictwie UG, ss.990).</w:t>
      </w:r>
    </w:p>
    <w:p w:rsidR="00A9710F" w:rsidRDefault="00A9710F" w:rsidP="00A971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10F" w:rsidRPr="00876BE0" w:rsidRDefault="00A9710F" w:rsidP="00A971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10F" w:rsidRDefault="00A9710F" w:rsidP="00A9710F">
      <w:pPr>
        <w:pStyle w:val="Akapitzlist"/>
        <w:numPr>
          <w:ilvl w:val="0"/>
          <w:numId w:val="2"/>
        </w:numPr>
        <w:tabs>
          <w:tab w:val="left" w:pos="1545"/>
        </w:tabs>
        <w:rPr>
          <w:rFonts w:ascii="New times roman" w:hAnsi="New times roman"/>
          <w:b/>
          <w:sz w:val="24"/>
          <w:szCs w:val="24"/>
        </w:rPr>
      </w:pPr>
      <w:r w:rsidRPr="00A9710F">
        <w:rPr>
          <w:rFonts w:ascii="New times roman" w:hAnsi="New times roman"/>
          <w:b/>
          <w:sz w:val="24"/>
          <w:szCs w:val="24"/>
        </w:rPr>
        <w:t>dr Iwona Janicka</w:t>
      </w:r>
    </w:p>
    <w:p w:rsidR="007A64DC" w:rsidRDefault="007A64DC" w:rsidP="007A64DC">
      <w:pPr>
        <w:pStyle w:val="Akapitzlist"/>
        <w:tabs>
          <w:tab w:val="left" w:pos="1545"/>
        </w:tabs>
        <w:ind w:left="1069"/>
        <w:rPr>
          <w:rFonts w:ascii="New times roman" w:hAnsi="New times roman"/>
          <w:b/>
          <w:sz w:val="24"/>
          <w:szCs w:val="24"/>
        </w:rPr>
      </w:pPr>
    </w:p>
    <w:p w:rsidR="00A9710F" w:rsidRDefault="00A9710F" w:rsidP="00A9710F">
      <w:pPr>
        <w:pStyle w:val="Akapitzlist"/>
        <w:tabs>
          <w:tab w:val="left" w:pos="1545"/>
        </w:tabs>
        <w:ind w:left="1069"/>
        <w:rPr>
          <w:rFonts w:ascii="New times roman" w:hAnsi="New times roman" w:cs="Times New Roman"/>
          <w:b/>
          <w:sz w:val="24"/>
          <w:szCs w:val="24"/>
        </w:rPr>
      </w:pPr>
      <w:r w:rsidRPr="00A9710F">
        <w:rPr>
          <w:rFonts w:ascii="New times roman" w:hAnsi="New times roman" w:cs="Times New Roman"/>
          <w:b/>
          <w:sz w:val="24"/>
          <w:szCs w:val="24"/>
        </w:rPr>
        <w:t>Kresy 1795-1914 – historia, ludzie, życie codzienne</w:t>
      </w:r>
    </w:p>
    <w:p w:rsidR="00A9710F" w:rsidRDefault="00A9710F" w:rsidP="00A9710F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  <w:r w:rsidRPr="00A9710F">
        <w:rPr>
          <w:rFonts w:ascii="Times New Roman" w:hAnsi="Times New Roman" w:cs="Times New Roman"/>
        </w:rPr>
        <w:t xml:space="preserve">Wykłady zostaną podzielony na dwie części. W pierwszej zostanie przybliżona historia ziem dawnego Wielkiego Księstwa Litewskiego (dzisiejszej Litwy i Białorusi) od czasu ostatniego rozbioru w 1795 roku do wybuchu I wojny światowej. Omówione zostaną m.in. pojęcie Kresów, zasady administrowania północno-zachodnimi guberniami, struktura społeczna, wyznaniowa, narodowościowa ludności. Szczególnie zaakcentowana zostanie historia i rola jaką w kształtowaniu życia kulturalnego, naukowego i politycznego tych ziem odegrało Wilno. Druga część wykładów poświęcona będzie historii epidemii cholery w północno-zachodnich guberniach. Przybliżona zostanie sama choroba (jej pochodzenie, objawy i przebieg), warunki rozprzestrzeniania się, sposoby leczenia, statystyka, organizacja służb medycznych.  </w:t>
      </w:r>
    </w:p>
    <w:p w:rsidR="00422F9B" w:rsidRDefault="00422F9B" w:rsidP="00A9710F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422F9B" w:rsidRDefault="00422F9B" w:rsidP="00A9710F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422F9B" w:rsidRDefault="00422F9B" w:rsidP="00422F9B">
      <w:pPr>
        <w:pStyle w:val="Akapitzlist"/>
        <w:numPr>
          <w:ilvl w:val="0"/>
          <w:numId w:val="2"/>
        </w:numPr>
        <w:tabs>
          <w:tab w:val="left" w:pos="1545"/>
        </w:tabs>
        <w:spacing w:line="360" w:lineRule="auto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dr Michalina </w:t>
      </w:r>
      <w:proofErr w:type="spellStart"/>
      <w:r>
        <w:rPr>
          <w:rFonts w:ascii="New times roman" w:hAnsi="New times roman"/>
          <w:b/>
          <w:sz w:val="24"/>
          <w:szCs w:val="24"/>
        </w:rPr>
        <w:t>Petelska</w:t>
      </w:r>
      <w:proofErr w:type="spellEnd"/>
    </w:p>
    <w:p w:rsidR="00422F9B" w:rsidRPr="00422F9B" w:rsidRDefault="00422F9B" w:rsidP="00422F9B">
      <w:pPr>
        <w:pStyle w:val="Akapitzlist"/>
        <w:ind w:left="1069"/>
        <w:rPr>
          <w:rFonts w:ascii="New times roman" w:hAnsi="New times roman"/>
          <w:b/>
          <w:sz w:val="24"/>
          <w:szCs w:val="24"/>
        </w:rPr>
      </w:pPr>
      <w:r w:rsidRPr="00422F9B">
        <w:rPr>
          <w:rFonts w:ascii="New times roman" w:hAnsi="New times roman"/>
          <w:b/>
          <w:sz w:val="24"/>
          <w:szCs w:val="24"/>
        </w:rPr>
        <w:t>Muzea w</w:t>
      </w:r>
      <w:r w:rsidRPr="00422F9B">
        <w:rPr>
          <w:rFonts w:ascii="New times roman" w:hAnsi="New times roman"/>
          <w:b/>
          <w:sz w:val="24"/>
          <w:szCs w:val="24"/>
        </w:rPr>
        <w:t xml:space="preserve"> turystyce: oferta i dostępność</w:t>
      </w:r>
    </w:p>
    <w:p w:rsidR="00422F9B" w:rsidRPr="00422F9B" w:rsidRDefault="00422F9B" w:rsidP="00422F9B">
      <w:pPr>
        <w:pStyle w:val="Akapitzlist"/>
        <w:ind w:left="1069"/>
        <w:rPr>
          <w:rFonts w:ascii="New times roman" w:hAnsi="New times roman"/>
          <w:sz w:val="24"/>
          <w:szCs w:val="24"/>
        </w:rPr>
      </w:pPr>
    </w:p>
    <w:p w:rsidR="00422F9B" w:rsidRDefault="00422F9B" w:rsidP="00422F9B">
      <w:pPr>
        <w:pStyle w:val="Akapitzlist"/>
        <w:spacing w:line="360" w:lineRule="auto"/>
        <w:ind w:left="1069"/>
        <w:jc w:val="both"/>
        <w:rPr>
          <w:rFonts w:ascii="New times roman" w:hAnsi="New times roman"/>
          <w:sz w:val="24"/>
          <w:szCs w:val="24"/>
        </w:rPr>
      </w:pPr>
      <w:r w:rsidRPr="00422F9B">
        <w:rPr>
          <w:rFonts w:ascii="New times roman" w:hAnsi="New times roman"/>
          <w:sz w:val="24"/>
          <w:szCs w:val="24"/>
        </w:rPr>
        <w:t>Muzea stanowią jeden z podstawowych elementów ofert turystycznych. Podczas wykładów przedstawione zostaną zmiany, które zaszły i nadal zachodzą w muzeach. Wykład będzie skonstruowany wokół następujących zagadnień: współczesne muzealnictwo: między kolekcją a rozrywką; ochrona zabytków i przemysł czasu wolnego; relacje muzeum z otoczeniem społecznym; muzeum jako produkt turystyczny; działania promocyjne w muzeach; przygotowywanie oferty dla różnych grup odbiorców muzeum oraz zaangażowanie muzeów w turystykę osób z niepełnosprawnościami – wzory dobrych praktyk.</w:t>
      </w:r>
    </w:p>
    <w:p w:rsidR="00422F9B" w:rsidRDefault="00422F9B" w:rsidP="00422F9B">
      <w:pPr>
        <w:pStyle w:val="Akapitzlist"/>
        <w:spacing w:line="360" w:lineRule="auto"/>
        <w:ind w:left="1069"/>
        <w:jc w:val="both"/>
        <w:rPr>
          <w:rFonts w:ascii="New times roman" w:hAnsi="New times roman"/>
          <w:sz w:val="24"/>
          <w:szCs w:val="24"/>
        </w:rPr>
      </w:pPr>
    </w:p>
    <w:p w:rsidR="00422F9B" w:rsidRDefault="00422F9B" w:rsidP="00422F9B">
      <w:pPr>
        <w:pStyle w:val="Akapitzlist"/>
        <w:spacing w:line="360" w:lineRule="auto"/>
        <w:ind w:left="1069"/>
        <w:jc w:val="both"/>
        <w:rPr>
          <w:rFonts w:ascii="New times roman" w:hAnsi="New times roman"/>
          <w:sz w:val="24"/>
          <w:szCs w:val="24"/>
        </w:rPr>
      </w:pPr>
    </w:p>
    <w:p w:rsidR="00422F9B" w:rsidRDefault="00422F9B" w:rsidP="00422F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C2599">
        <w:rPr>
          <w:rFonts w:ascii="New times roman" w:hAnsi="New times roman"/>
          <w:b/>
          <w:sz w:val="24"/>
          <w:szCs w:val="24"/>
        </w:rPr>
        <w:t>dr</w:t>
      </w:r>
      <w:r>
        <w:rPr>
          <w:rFonts w:ascii="New times roman" w:hAnsi="New times roman"/>
          <w:sz w:val="24"/>
          <w:szCs w:val="24"/>
        </w:rPr>
        <w:t xml:space="preserve"> </w:t>
      </w:r>
      <w:r w:rsidRPr="00422F9B">
        <w:rPr>
          <w:rFonts w:ascii="New times roman" w:hAnsi="New times roman"/>
          <w:b/>
          <w:sz w:val="24"/>
          <w:szCs w:val="24"/>
        </w:rPr>
        <w:t xml:space="preserve">Anna </w:t>
      </w:r>
      <w:proofErr w:type="spellStart"/>
      <w:r w:rsidRPr="00422F9B">
        <w:rPr>
          <w:rFonts w:ascii="New times roman" w:hAnsi="New times roman"/>
          <w:b/>
          <w:sz w:val="24"/>
          <w:szCs w:val="24"/>
        </w:rPr>
        <w:t>Żeglińska</w:t>
      </w:r>
      <w:proofErr w:type="spellEnd"/>
    </w:p>
    <w:p w:rsidR="00422F9B" w:rsidRPr="00422F9B" w:rsidRDefault="00422F9B" w:rsidP="00422F9B">
      <w:pPr>
        <w:pStyle w:val="Akapitzlist"/>
        <w:spacing w:after="0" w:line="240" w:lineRule="auto"/>
        <w:ind w:left="1069"/>
        <w:rPr>
          <w:rFonts w:ascii="New times roman" w:eastAsia="Times New Roman" w:hAnsi="New times roman" w:cs="Times New Roman"/>
          <w:sz w:val="24"/>
          <w:szCs w:val="24"/>
          <w:lang w:eastAsia="pl-PL"/>
        </w:rPr>
      </w:pPr>
      <w:r w:rsidRPr="00422F9B">
        <w:rPr>
          <w:rFonts w:ascii="New times roman" w:eastAsia="Times New Roman" w:hAnsi="New times roman" w:cs="Times New Roman"/>
          <w:b/>
          <w:bCs/>
          <w:sz w:val="24"/>
          <w:szCs w:val="24"/>
          <w:lang w:eastAsia="pl-PL"/>
        </w:rPr>
        <w:t>Szlachta Prus Wschodnich</w:t>
      </w:r>
    </w:p>
    <w:p w:rsidR="00422F9B" w:rsidRPr="00422F9B" w:rsidRDefault="00422F9B" w:rsidP="00422F9B">
      <w:pPr>
        <w:pStyle w:val="Akapitzlist"/>
        <w:spacing w:after="0" w:line="240" w:lineRule="auto"/>
        <w:ind w:left="1069"/>
        <w:rPr>
          <w:rFonts w:ascii="New times roman" w:eastAsia="Times New Roman" w:hAnsi="New times roman" w:cs="Times New Roman"/>
          <w:sz w:val="24"/>
          <w:szCs w:val="24"/>
          <w:lang w:eastAsia="pl-PL"/>
        </w:rPr>
      </w:pPr>
    </w:p>
    <w:p w:rsidR="00422F9B" w:rsidRPr="00422F9B" w:rsidRDefault="00422F9B" w:rsidP="00422F9B">
      <w:pPr>
        <w:pStyle w:val="Akapitzlist"/>
        <w:spacing w:after="0" w:line="360" w:lineRule="auto"/>
        <w:ind w:left="1069"/>
        <w:rPr>
          <w:rFonts w:ascii="New times roman" w:eastAsia="Times New Roman" w:hAnsi="New times roman" w:cs="Times New Roman"/>
          <w:sz w:val="24"/>
          <w:szCs w:val="24"/>
          <w:lang w:eastAsia="pl-PL"/>
        </w:rPr>
      </w:pPr>
      <w:r w:rsidRPr="00422F9B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Celem wykładów jest przedstawienie wschodniopruskiej szlachty jako warstwy społecznej, poszczególnych rodów i rodzin z uwzględnieniem ich życia codziennego w zamkach, pałacach i dworach; wykształcenie, podróże, zabawy i przyjemności, jak również ekonomiczne podstawy życia, realizowanej działalności publicznej i społecznej.   </w:t>
      </w:r>
    </w:p>
    <w:p w:rsidR="00422F9B" w:rsidRPr="00422F9B" w:rsidRDefault="00422F9B" w:rsidP="00422F9B">
      <w:pPr>
        <w:pStyle w:val="Akapitzlist"/>
        <w:spacing w:line="360" w:lineRule="auto"/>
        <w:ind w:left="1069"/>
        <w:jc w:val="both"/>
        <w:rPr>
          <w:rFonts w:ascii="New times roman" w:hAnsi="New times roman"/>
          <w:b/>
          <w:sz w:val="24"/>
          <w:szCs w:val="24"/>
        </w:rPr>
      </w:pPr>
    </w:p>
    <w:p w:rsidR="00422F9B" w:rsidRPr="00422F9B" w:rsidRDefault="00422F9B" w:rsidP="00422F9B">
      <w:pPr>
        <w:pStyle w:val="Akapitzlist"/>
        <w:spacing w:line="360" w:lineRule="auto"/>
        <w:ind w:left="1069"/>
        <w:jc w:val="both"/>
        <w:rPr>
          <w:rFonts w:ascii="New times roman" w:hAnsi="New times roman"/>
          <w:sz w:val="24"/>
          <w:szCs w:val="24"/>
        </w:rPr>
      </w:pPr>
    </w:p>
    <w:p w:rsidR="00422F9B" w:rsidRPr="00422F9B" w:rsidRDefault="00422F9B" w:rsidP="00422F9B">
      <w:pPr>
        <w:pStyle w:val="Akapitzlist"/>
        <w:tabs>
          <w:tab w:val="left" w:pos="1545"/>
        </w:tabs>
        <w:spacing w:line="360" w:lineRule="auto"/>
        <w:ind w:left="1069"/>
        <w:rPr>
          <w:rFonts w:ascii="New times roman" w:hAnsi="New times roman"/>
          <w:b/>
          <w:sz w:val="24"/>
          <w:szCs w:val="24"/>
        </w:rPr>
      </w:pPr>
      <w:bookmarkStart w:id="0" w:name="_GoBack"/>
      <w:bookmarkEnd w:id="0"/>
    </w:p>
    <w:p w:rsidR="00422F9B" w:rsidRPr="00422F9B" w:rsidRDefault="00422F9B" w:rsidP="00422F9B">
      <w:pPr>
        <w:pStyle w:val="Akapitzlist"/>
        <w:tabs>
          <w:tab w:val="left" w:pos="1545"/>
        </w:tabs>
        <w:spacing w:line="360" w:lineRule="auto"/>
        <w:ind w:left="1069"/>
        <w:rPr>
          <w:rFonts w:ascii="New times roman" w:hAnsi="New times roman"/>
          <w:b/>
          <w:sz w:val="24"/>
          <w:szCs w:val="24"/>
        </w:rPr>
      </w:pPr>
    </w:p>
    <w:sectPr w:rsidR="00422F9B" w:rsidRPr="0042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15A2"/>
    <w:multiLevelType w:val="hybridMultilevel"/>
    <w:tmpl w:val="349A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67B4"/>
    <w:multiLevelType w:val="hybridMultilevel"/>
    <w:tmpl w:val="05D4DA16"/>
    <w:lvl w:ilvl="0" w:tplc="1C2A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9"/>
    <w:rsid w:val="001C2599"/>
    <w:rsid w:val="00274BC8"/>
    <w:rsid w:val="00422F9B"/>
    <w:rsid w:val="005A7B29"/>
    <w:rsid w:val="007A64DC"/>
    <w:rsid w:val="00A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F93"/>
  <w15:chartTrackingRefBased/>
  <w15:docId w15:val="{C67B25D1-72D9-4BEE-9A67-2CB6B06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2021-02-02T12:42:00Z</dcterms:created>
  <dcterms:modified xsi:type="dcterms:W3CDTF">2021-02-02T12:50:00Z</dcterms:modified>
</cp:coreProperties>
</file>