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8A50" w14:textId="2C127A1C" w:rsidR="00E94380" w:rsidRDefault="00E94380" w:rsidP="00E94380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PROSEMINARIA HISTORIA II rok SSL</w:t>
      </w:r>
      <w:r w:rsidR="009923B0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 xml:space="preserve">2020/21 semestr </w:t>
      </w:r>
      <w:r w:rsidR="00626217">
        <w:rPr>
          <w:rFonts w:ascii="Arial" w:hAnsi="Arial"/>
          <w:sz w:val="40"/>
          <w:szCs w:val="40"/>
        </w:rPr>
        <w:t>letni</w:t>
      </w:r>
    </w:p>
    <w:p w14:paraId="3EC1937F" w14:textId="57D1A365" w:rsidR="00E94380" w:rsidRPr="004E7087" w:rsidRDefault="00E94380" w:rsidP="004E7087">
      <w:pPr>
        <w:jc w:val="center"/>
        <w:rPr>
          <w:rFonts w:ascii="Cambria" w:hAnsi="Cambria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2972"/>
        <w:gridCol w:w="10528"/>
      </w:tblGrid>
      <w:tr w:rsidR="00E94380" w14:paraId="18C7CBF0" w14:textId="77777777" w:rsidTr="00E94380">
        <w:tc>
          <w:tcPr>
            <w:tcW w:w="494" w:type="dxa"/>
          </w:tcPr>
          <w:p w14:paraId="7C2A062F" w14:textId="0817DB3D" w:rsidR="00E94380" w:rsidRDefault="00E94380" w:rsidP="00E94380">
            <w:pPr>
              <w:jc w:val="center"/>
            </w:pPr>
            <w:r>
              <w:t>l.p.</w:t>
            </w:r>
          </w:p>
        </w:tc>
        <w:tc>
          <w:tcPr>
            <w:tcW w:w="2972" w:type="dxa"/>
          </w:tcPr>
          <w:p w14:paraId="733C317B" w14:textId="4B97BE7B" w:rsidR="00E94380" w:rsidRPr="00E94380" w:rsidRDefault="00E94380" w:rsidP="00E94380">
            <w:pPr>
              <w:jc w:val="center"/>
              <w:rPr>
                <w:b/>
                <w:bCs/>
              </w:rPr>
            </w:pPr>
            <w:r w:rsidRPr="00E94380">
              <w:rPr>
                <w:rFonts w:ascii="Arial" w:hAnsi="Arial" w:cs="Arial"/>
                <w:b/>
                <w:bCs/>
                <w:sz w:val="26"/>
                <w:szCs w:val="26"/>
              </w:rPr>
              <w:t>IMIĘ I NAZWISKO PROWADZĄCEGO</w:t>
            </w:r>
          </w:p>
        </w:tc>
        <w:tc>
          <w:tcPr>
            <w:tcW w:w="10528" w:type="dxa"/>
          </w:tcPr>
          <w:p w14:paraId="674337FD" w14:textId="612D1E24" w:rsidR="00E94380" w:rsidRPr="00E94380" w:rsidRDefault="00E94380" w:rsidP="00E94380">
            <w:pPr>
              <w:jc w:val="center"/>
              <w:rPr>
                <w:b/>
                <w:bCs/>
              </w:rPr>
            </w:pPr>
            <w:r w:rsidRPr="00E94380">
              <w:rPr>
                <w:rFonts w:ascii="Arial" w:hAnsi="Arial" w:cs="Arial"/>
                <w:b/>
                <w:bCs/>
                <w:sz w:val="26"/>
                <w:szCs w:val="26"/>
              </w:rPr>
              <w:t>KRÓTKA CHARAKTERYSTYKA</w:t>
            </w:r>
          </w:p>
        </w:tc>
      </w:tr>
      <w:tr w:rsidR="00786378" w14:paraId="7FBA5A63" w14:textId="77777777" w:rsidTr="00E94380">
        <w:tc>
          <w:tcPr>
            <w:tcW w:w="494" w:type="dxa"/>
          </w:tcPr>
          <w:p w14:paraId="43E786A9" w14:textId="25CA5607" w:rsidR="00786378" w:rsidRDefault="00786378" w:rsidP="00786378">
            <w:pPr>
              <w:jc w:val="center"/>
            </w:pPr>
            <w:r>
              <w:t>1</w:t>
            </w:r>
          </w:p>
        </w:tc>
        <w:tc>
          <w:tcPr>
            <w:tcW w:w="2972" w:type="dxa"/>
          </w:tcPr>
          <w:p w14:paraId="2425DE62" w14:textId="3E3A39E0" w:rsidR="00786378" w:rsidRPr="00626217" w:rsidRDefault="00786378" w:rsidP="007863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6217">
              <w:rPr>
                <w:rFonts w:cstheme="minorHAnsi"/>
                <w:color w:val="000000"/>
                <w:sz w:val="24"/>
                <w:szCs w:val="24"/>
                <w:lang w:val="en-US"/>
              </w:rPr>
              <w:t>dr hab. Grzegorz Berendt, prof. UG</w:t>
            </w:r>
          </w:p>
        </w:tc>
        <w:tc>
          <w:tcPr>
            <w:tcW w:w="10528" w:type="dxa"/>
          </w:tcPr>
          <w:p w14:paraId="5ACB0B9C" w14:textId="77777777" w:rsidR="00786378" w:rsidRPr="00592588" w:rsidRDefault="00786378" w:rsidP="00786378">
            <w:pPr>
              <w:tabs>
                <w:tab w:val="center" w:pos="5156"/>
                <w:tab w:val="left" w:pos="8745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92588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 xml:space="preserve">Temat: </w:t>
            </w:r>
            <w:r w:rsidRPr="00592588">
              <w:rPr>
                <w:rFonts w:cstheme="minorHAnsi"/>
                <w:b/>
                <w:bCs/>
                <w:sz w:val="24"/>
                <w:szCs w:val="24"/>
                <w:u w:val="single"/>
              </w:rPr>
              <w:t>Polska, Polacy i ich sąsiedzi w XX w.</w:t>
            </w:r>
          </w:p>
          <w:p w14:paraId="3A893338" w14:textId="77777777" w:rsidR="00786378" w:rsidRPr="001F12E3" w:rsidRDefault="00786378" w:rsidP="00786378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1F12E3">
              <w:rPr>
                <w:sz w:val="24"/>
                <w:szCs w:val="24"/>
              </w:rPr>
              <w:t>Problematyka wykładu:</w:t>
            </w:r>
          </w:p>
          <w:p w14:paraId="3C7EB320" w14:textId="77777777" w:rsidR="00786378" w:rsidRPr="001F12E3" w:rsidRDefault="00786378" w:rsidP="00786378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1F12E3">
              <w:rPr>
                <w:sz w:val="24"/>
                <w:szCs w:val="24"/>
              </w:rPr>
              <w:t>- stosunki narodowościowe na ziemiach Polskich w okresie I w. św.</w:t>
            </w:r>
          </w:p>
          <w:p w14:paraId="63AAACE9" w14:textId="77777777" w:rsidR="00786378" w:rsidRPr="001F12E3" w:rsidRDefault="00786378" w:rsidP="00786378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1F12E3">
              <w:rPr>
                <w:sz w:val="24"/>
                <w:szCs w:val="24"/>
              </w:rPr>
              <w:t>- stosunki narodowościowe i relacje Polski z krajami ościennymi w latach 1919-1939</w:t>
            </w:r>
          </w:p>
          <w:p w14:paraId="25B86221" w14:textId="77777777" w:rsidR="00786378" w:rsidRPr="001F12E3" w:rsidRDefault="00786378" w:rsidP="00786378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1F12E3">
              <w:rPr>
                <w:sz w:val="24"/>
                <w:szCs w:val="24"/>
              </w:rPr>
              <w:t>- wpływ polityki państw okupacyjnych na stosunki narodowościowe na ziemiach polskich w latach 1919-1939</w:t>
            </w:r>
          </w:p>
          <w:p w14:paraId="2D994CA7" w14:textId="77777777" w:rsidR="00786378" w:rsidRPr="001F12E3" w:rsidRDefault="00786378" w:rsidP="00786378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1F12E3">
              <w:rPr>
                <w:sz w:val="24"/>
                <w:szCs w:val="24"/>
              </w:rPr>
              <w:t>- stosunki narodowościowe i relacje tzw. Polski Ludowej z krajami ościennymi w latach 1944-1989</w:t>
            </w:r>
          </w:p>
          <w:p w14:paraId="5BD11909" w14:textId="711C4F3B" w:rsidR="00786378" w:rsidRPr="00626217" w:rsidRDefault="00786378" w:rsidP="0078637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86378" w14:paraId="39C68B60" w14:textId="77777777" w:rsidTr="00E94380">
        <w:tc>
          <w:tcPr>
            <w:tcW w:w="494" w:type="dxa"/>
          </w:tcPr>
          <w:p w14:paraId="2B2A8C4A" w14:textId="4889EA17" w:rsidR="00786378" w:rsidRDefault="00786378" w:rsidP="00786378">
            <w:pPr>
              <w:jc w:val="center"/>
            </w:pPr>
            <w:r>
              <w:t>2</w:t>
            </w:r>
          </w:p>
        </w:tc>
        <w:tc>
          <w:tcPr>
            <w:tcW w:w="2972" w:type="dxa"/>
          </w:tcPr>
          <w:p w14:paraId="4831E029" w14:textId="77777777" w:rsidR="00786378" w:rsidRPr="00626217" w:rsidRDefault="00786378" w:rsidP="00786378">
            <w:pPr>
              <w:shd w:val="clear" w:color="auto" w:fill="FFFFFF"/>
              <w:spacing w:after="240" w:line="36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26217">
              <w:rPr>
                <w:rFonts w:cstheme="minorHAnsi"/>
                <w:sz w:val="24"/>
                <w:szCs w:val="24"/>
              </w:rPr>
              <w:t xml:space="preserve">dr Anna Łysiak-Łątkowska       </w:t>
            </w:r>
          </w:p>
          <w:p w14:paraId="1A54C455" w14:textId="5B9D9A36" w:rsidR="00786378" w:rsidRPr="00626217" w:rsidRDefault="00786378" w:rsidP="0078637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28" w:type="dxa"/>
          </w:tcPr>
          <w:p w14:paraId="4B1932BF" w14:textId="491C77C9" w:rsidR="00786378" w:rsidRPr="00516BBD" w:rsidRDefault="00786378" w:rsidP="00786378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516BB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 xml:space="preserve">Temat: </w:t>
            </w:r>
            <w:r w:rsidRPr="00516BBD">
              <w:rPr>
                <w:b/>
                <w:bCs/>
                <w:u w:val="single"/>
              </w:rPr>
              <w:t>Historia życia społecznego</w:t>
            </w:r>
          </w:p>
          <w:p w14:paraId="5512DEAB" w14:textId="77777777" w:rsidR="00786378" w:rsidRPr="00626217" w:rsidRDefault="00786378" w:rsidP="00786378">
            <w:pPr>
              <w:shd w:val="clear" w:color="auto" w:fill="FFFFFF"/>
              <w:spacing w:after="240" w:line="36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626217">
              <w:rPr>
                <w:rFonts w:cstheme="minorHAnsi"/>
                <w:sz w:val="24"/>
                <w:szCs w:val="24"/>
              </w:rPr>
              <w:t xml:space="preserve">  Tematyka proseminarium w zakresie chronologicznym obejmuje wybrane zagadnienia i aspekty od czasów nowożytnych aż po okres dwudziestolecia międzywojennego, chociaż głównym obszarem jest wiek XIX.  Stulecie to charakteryzowane jest jako długie i piękne, a ostatnie dziesięciolecia nazywane są „</w:t>
            </w:r>
            <w:proofErr w:type="spellStart"/>
            <w:r w:rsidRPr="00626217">
              <w:rPr>
                <w:rFonts w:cstheme="minorHAnsi"/>
                <w:sz w:val="24"/>
                <w:szCs w:val="24"/>
              </w:rPr>
              <w:t>belle</w:t>
            </w:r>
            <w:proofErr w:type="spellEnd"/>
            <w:r w:rsidRPr="006262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6217">
              <w:rPr>
                <w:rFonts w:cstheme="minorHAnsi"/>
                <w:sz w:val="24"/>
                <w:szCs w:val="24"/>
              </w:rPr>
              <w:t>époque</w:t>
            </w:r>
            <w:proofErr w:type="spellEnd"/>
            <w:r w:rsidRPr="00626217">
              <w:rPr>
                <w:rFonts w:cstheme="minorHAnsi"/>
                <w:sz w:val="24"/>
                <w:szCs w:val="24"/>
              </w:rPr>
              <w:t xml:space="preserve">”.  Wpłynęły na to wydarzenia polityczne, w wyniku których nastąpiły przekształcenia ustrojowe, zmiany geopolityczne, przeobrażenia w różnych obszarach życia społecznego i gospodarczego. Na proseminarium będą one stanowić tło, poruszana tematyka dotyczyć </w:t>
            </w:r>
            <w:proofErr w:type="gramStart"/>
            <w:r w:rsidRPr="00626217">
              <w:rPr>
                <w:rFonts w:cstheme="minorHAnsi"/>
                <w:sz w:val="24"/>
                <w:szCs w:val="24"/>
              </w:rPr>
              <w:t>będzie  przede</w:t>
            </w:r>
            <w:proofErr w:type="gramEnd"/>
            <w:r w:rsidRPr="00626217">
              <w:rPr>
                <w:rFonts w:cstheme="minorHAnsi"/>
                <w:sz w:val="24"/>
                <w:szCs w:val="24"/>
              </w:rPr>
              <w:t xml:space="preserve"> wszystkim historii społecznej, a w jej ramach takich kwestii jak szeroko rozumiane życie codzienne m. in. czystość i higiena, warunki mieszkaniowe, kulinaria, rozrywka i czas wolny. Na płaszczyźnie kulturowej poruszane mogą być zagadnienia dotyczące mentalności i obyczajowości, a także te związane ze zderzeniem kultur i cywilizacji w kontekście ekspansji kolonialnej XIX stulecia. Uwzględnione mogą być także inne pomysły i propozycje tematyczne łączące się z przedstawioną problematyką proseminarium.</w:t>
            </w:r>
          </w:p>
          <w:p w14:paraId="40FCB55D" w14:textId="77777777" w:rsidR="00786378" w:rsidRPr="00626217" w:rsidRDefault="00786378" w:rsidP="0078637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6378" w14:paraId="137A4504" w14:textId="77777777" w:rsidTr="00E94380">
        <w:tc>
          <w:tcPr>
            <w:tcW w:w="494" w:type="dxa"/>
          </w:tcPr>
          <w:p w14:paraId="10DDAC82" w14:textId="6A9BA376" w:rsidR="00786378" w:rsidRDefault="00786378" w:rsidP="00786378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2" w:type="dxa"/>
          </w:tcPr>
          <w:p w14:paraId="232FA768" w14:textId="5DCE322F" w:rsidR="00786378" w:rsidRPr="00626217" w:rsidRDefault="00786378" w:rsidP="007863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6217">
              <w:rPr>
                <w:rFonts w:cstheme="minorHAnsi"/>
                <w:sz w:val="24"/>
                <w:szCs w:val="24"/>
              </w:rPr>
              <w:t>dr Tomasz Maćkowski</w:t>
            </w:r>
          </w:p>
        </w:tc>
        <w:tc>
          <w:tcPr>
            <w:tcW w:w="10528" w:type="dxa"/>
          </w:tcPr>
          <w:p w14:paraId="4A682FF5" w14:textId="77777777" w:rsidR="00786378" w:rsidRPr="00592588" w:rsidRDefault="00786378" w:rsidP="00786378">
            <w:pPr>
              <w:spacing w:line="276" w:lineRule="auto"/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592588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 xml:space="preserve">Temat: </w:t>
            </w:r>
            <w:r w:rsidRPr="00592588">
              <w:rPr>
                <w:b/>
                <w:bCs/>
                <w:sz w:val="24"/>
                <w:szCs w:val="24"/>
                <w:u w:val="single"/>
              </w:rPr>
              <w:t>Historia kultury materialnej</w:t>
            </w:r>
          </w:p>
          <w:p w14:paraId="763612C0" w14:textId="1A049FA6" w:rsidR="00786378" w:rsidRPr="00626217" w:rsidRDefault="00786378" w:rsidP="0078637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62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Proseminarium będzie przygotowywać do napisania pracy dyplomowej z zakresu historii regionalnej (zabytki, ikonografia oraz symbolika wybranych dzieł sztuki) oraz historii kultury materialnej (dawne życie </w:t>
            </w:r>
            <w:proofErr w:type="gramStart"/>
            <w:r w:rsidRPr="00626217">
              <w:rPr>
                <w:rFonts w:eastAsia="Times New Roman" w:cstheme="minorHAnsi"/>
                <w:sz w:val="24"/>
                <w:szCs w:val="24"/>
                <w:lang w:eastAsia="pl-PL"/>
              </w:rPr>
              <w:t>codzienne,  znaki</w:t>
            </w:r>
            <w:proofErr w:type="gramEnd"/>
            <w:r w:rsidRPr="006262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prawne na artefaktach, kolekcjonerstwo). Efektem pracy na seminarium będzie przygotowanie konspektu pracy dyplomowej na wybrany temat.</w:t>
            </w:r>
          </w:p>
        </w:tc>
      </w:tr>
    </w:tbl>
    <w:p w14:paraId="0ECD03B1" w14:textId="54DE5F2E" w:rsidR="00786378" w:rsidRDefault="00241974" w:rsidP="006105D8">
      <w:pPr>
        <w:pStyle w:val="NormalnyWeb"/>
      </w:pPr>
      <w:r w:rsidRPr="002A5318">
        <w:rPr>
          <w:b/>
          <w:bCs/>
        </w:rPr>
        <w:t xml:space="preserve">Każdy z studentów wybiera tylko jedno proseminarium. </w:t>
      </w:r>
    </w:p>
    <w:p w14:paraId="7E7C6CCC" w14:textId="77777777" w:rsidR="00786378" w:rsidRPr="00786378" w:rsidRDefault="00786378" w:rsidP="00786378">
      <w:pPr>
        <w:rPr>
          <w:lang w:eastAsia="pl-PL"/>
        </w:rPr>
      </w:pPr>
    </w:p>
    <w:p w14:paraId="71F652A2" w14:textId="0666D954" w:rsidR="00786378" w:rsidRDefault="00786378" w:rsidP="00786378">
      <w:pPr>
        <w:rPr>
          <w:lang w:eastAsia="pl-PL"/>
        </w:rPr>
      </w:pPr>
    </w:p>
    <w:p w14:paraId="32AC31E0" w14:textId="77777777" w:rsidR="00E94380" w:rsidRPr="00786378" w:rsidRDefault="00E94380" w:rsidP="00786378">
      <w:pPr>
        <w:rPr>
          <w:lang w:eastAsia="pl-PL"/>
        </w:rPr>
      </w:pPr>
    </w:p>
    <w:sectPr w:rsidR="00E94380" w:rsidRPr="00786378" w:rsidSect="00E94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80"/>
    <w:rsid w:val="001F12E3"/>
    <w:rsid w:val="00241974"/>
    <w:rsid w:val="002A5318"/>
    <w:rsid w:val="003F44FB"/>
    <w:rsid w:val="004E7087"/>
    <w:rsid w:val="00516BBD"/>
    <w:rsid w:val="005436D5"/>
    <w:rsid w:val="00592588"/>
    <w:rsid w:val="006105D8"/>
    <w:rsid w:val="00626217"/>
    <w:rsid w:val="00786378"/>
    <w:rsid w:val="00817294"/>
    <w:rsid w:val="009923B0"/>
    <w:rsid w:val="00E94380"/>
    <w:rsid w:val="00F72BDE"/>
    <w:rsid w:val="00F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844D"/>
  <w15:chartTrackingRefBased/>
  <w15:docId w15:val="{FE9781E3-F672-440E-AF45-2EE00F57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4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Głombiowska</dc:creator>
  <cp:keywords/>
  <dc:description/>
  <cp:lastModifiedBy>Wacław Kulczykowski</cp:lastModifiedBy>
  <cp:revision>2</cp:revision>
  <dcterms:created xsi:type="dcterms:W3CDTF">2021-02-12T10:52:00Z</dcterms:created>
  <dcterms:modified xsi:type="dcterms:W3CDTF">2021-02-12T10:52:00Z</dcterms:modified>
</cp:coreProperties>
</file>